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firstLine="7655"/>
        <w:rPr>
          <w:rFonts w:ascii="Times New Roman" w:hAnsi="Times New Roman" w:cs="Times New Roman"/>
          <w:sz w:val="28"/>
          <w:szCs w:val="28"/>
        </w:rPr>
      </w:pPr>
      <w:r>
        <w:rPr>
          <w:rFonts w:cs="Times New Roman" w:ascii="Times New Roman" w:hAnsi="Times New Roman"/>
          <w:sz w:val="28"/>
          <w:szCs w:val="28"/>
        </w:rPr>
        <w:t>Приложение</w:t>
      </w:r>
    </w:p>
    <w:p>
      <w:pPr>
        <w:pStyle w:val="Normal"/>
        <w:ind w:firstLine="7655"/>
        <w:rPr>
          <w:rFonts w:ascii="Times New Roman" w:hAnsi="Times New Roman" w:cs="Times New Roman"/>
          <w:sz w:val="28"/>
          <w:szCs w:val="28"/>
        </w:rPr>
      </w:pPr>
      <w:r>
        <w:rPr>
          <w:rFonts w:cs="Times New Roman" w:ascii="Times New Roman" w:hAnsi="Times New Roman"/>
          <w:sz w:val="28"/>
          <w:szCs w:val="28"/>
        </w:rPr>
        <w:t>к Положению</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 xml:space="preserve">Шкала </w:t>
      </w:r>
    </w:p>
    <w:p>
      <w:pPr>
        <w:pStyle w:val="Normal"/>
        <w:jc w:val="center"/>
        <w:rPr>
          <w:rFonts w:ascii="Times New Roman" w:hAnsi="Times New Roman" w:cs="Times New Roman"/>
          <w:b/>
          <w:sz w:val="28"/>
          <w:szCs w:val="28"/>
        </w:rPr>
      </w:pPr>
      <w:r>
        <w:rPr>
          <w:rFonts w:cs="Times New Roman" w:ascii="Times New Roman" w:hAnsi="Times New Roman"/>
          <w:b/>
          <w:sz w:val="28"/>
          <w:szCs w:val="28"/>
        </w:rPr>
        <w:t>для оценки и сопоставления заявок на участие</w:t>
      </w:r>
    </w:p>
    <w:p>
      <w:pPr>
        <w:pStyle w:val="Normal"/>
        <w:jc w:val="center"/>
        <w:rPr>
          <w:rFonts w:ascii="Times New Roman" w:hAnsi="Times New Roman" w:cs="Times New Roman"/>
          <w:b/>
          <w:sz w:val="28"/>
          <w:szCs w:val="28"/>
        </w:rPr>
      </w:pPr>
      <w:r>
        <w:rPr>
          <w:rFonts w:cs="Times New Roman" w:ascii="Times New Roman" w:hAnsi="Times New Roman"/>
          <w:b/>
          <w:sz w:val="28"/>
          <w:szCs w:val="28"/>
        </w:rPr>
        <w:t xml:space="preserve">в открытом конкурсе па право получения свидетельств </w:t>
      </w:r>
    </w:p>
    <w:p>
      <w:pPr>
        <w:pStyle w:val="Normal"/>
        <w:jc w:val="center"/>
        <w:rPr>
          <w:rFonts w:ascii="Times New Roman" w:hAnsi="Times New Roman" w:cs="Times New Roman"/>
          <w:b/>
          <w:sz w:val="28"/>
          <w:szCs w:val="28"/>
        </w:rPr>
      </w:pPr>
      <w:r>
        <w:rPr>
          <w:rFonts w:cs="Times New Roman" w:ascii="Times New Roman" w:hAnsi="Times New Roman"/>
          <w:b/>
          <w:sz w:val="28"/>
          <w:szCs w:val="28"/>
        </w:rPr>
        <w:t xml:space="preserve">об осуществлении регулярных перевозок по одному </w:t>
      </w:r>
    </w:p>
    <w:p>
      <w:pPr>
        <w:pStyle w:val="Normal"/>
        <w:jc w:val="center"/>
        <w:rPr>
          <w:rFonts w:ascii="Times New Roman" w:hAnsi="Times New Roman" w:cs="Times New Roman"/>
          <w:b/>
          <w:sz w:val="28"/>
          <w:szCs w:val="28"/>
        </w:rPr>
      </w:pPr>
      <w:r>
        <w:rPr>
          <w:rFonts w:cs="Times New Roman" w:ascii="Times New Roman" w:hAnsi="Times New Roman"/>
          <w:b/>
          <w:sz w:val="28"/>
          <w:szCs w:val="28"/>
        </w:rPr>
        <w:t xml:space="preserve">или нескольким маршрутам регулярных перевозок </w:t>
      </w:r>
    </w:p>
    <w:p>
      <w:pPr>
        <w:pStyle w:val="Normal"/>
        <w:jc w:val="center"/>
        <w:rPr>
          <w:rFonts w:ascii="Times New Roman" w:hAnsi="Times New Roman" w:cs="Times New Roman"/>
          <w:b/>
          <w:sz w:val="28"/>
          <w:szCs w:val="28"/>
        </w:rPr>
      </w:pPr>
      <w:r>
        <w:rPr>
          <w:rFonts w:cs="Times New Roman" w:ascii="Times New Roman" w:hAnsi="Times New Roman"/>
          <w:b/>
          <w:sz w:val="28"/>
          <w:szCs w:val="28"/>
        </w:rPr>
        <w:t xml:space="preserve">пассажиров и багажа автомобильные на муниципальных </w:t>
      </w:r>
    </w:p>
    <w:p>
      <w:pPr>
        <w:pStyle w:val="Normal"/>
        <w:jc w:val="center"/>
        <w:rPr>
          <w:rFonts w:ascii="Times New Roman" w:hAnsi="Times New Roman" w:cs="Times New Roman"/>
          <w:b/>
          <w:sz w:val="28"/>
          <w:szCs w:val="28"/>
        </w:rPr>
      </w:pPr>
      <w:r>
        <w:rPr>
          <w:rFonts w:cs="Times New Roman" w:ascii="Times New Roman" w:hAnsi="Times New Roman"/>
          <w:b/>
          <w:sz w:val="28"/>
          <w:szCs w:val="28"/>
        </w:rPr>
        <w:t xml:space="preserve">пригородных маршрутам в границах муниципального </w:t>
      </w:r>
    </w:p>
    <w:p>
      <w:pPr>
        <w:pStyle w:val="Normal"/>
        <w:jc w:val="center"/>
        <w:rPr>
          <w:rFonts w:ascii="Times New Roman" w:hAnsi="Times New Roman" w:cs="Times New Roman"/>
          <w:b/>
          <w:sz w:val="28"/>
          <w:szCs w:val="28"/>
        </w:rPr>
      </w:pPr>
      <w:r>
        <w:rPr>
          <w:rFonts w:cs="Times New Roman" w:ascii="Times New Roman" w:hAnsi="Times New Roman"/>
          <w:b/>
          <w:sz w:val="28"/>
          <w:szCs w:val="28"/>
        </w:rPr>
        <w:t>образования Курганинский район</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Конкурсные предложения участников конкурса оцениваются                                     и сопоставляются конкурсной комиссией по конкурсным критериям                                     в следующем порядке:</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Критерий № 1. Количество дорожно-транспортных происшествий, повлекших за собой человеческое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 (далее - дата размещения извещения), в расчёте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(далее - договоры обязательного страхования гражданской ответственности), действовавшим в течение года, предшествующего дате размещения извещения, рассчитывается по формуле К=Д/Т, где Д -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о проведении открытого конкурса на официальном сайте                             организатора открытого конкурса, Т - среднее количество транспортных средств, имеющихся в распоряжении юридического лица, индивидуального предпринимателя, участников договора простого товарищества в течении года предшествующего дате размещения о проведении открытого конкурса                             на официальном сайте организатора открытого конкурса:</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до 0,01 - «+3» балла;</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от 0,01 (включительно) до 0,02 (включительно) - «+2» балла;</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от 0,021 до 0,05 (включительно) — «+1» балла;</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свыше 0,05 - «0» баллов.</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Критерий № 2. 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 Данный критерий                               в отношении юридического лица или индивидуального предпринимателя исчисляется исходя из количества полных лет осуществления ими перевозок по маршрутам регулярных перевозок, а в отношении участников договора простого товарищества исходя из среднеарифметического количества полных лет осуществления перевозок по маршрутам регулярных перевозок каждым участником;</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наличие - «+1» балла;</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отсутствие - «0» баллов.</w:t>
      </w:r>
      <w:bookmarkStart w:id="0" w:name="_GoBack"/>
      <w:bookmarkEnd w:id="0"/>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Критерий № 3. Влияющих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w:t>
      </w:r>
    </w:p>
    <w:p>
      <w:pPr>
        <w:pStyle w:val="ListParagraph"/>
        <w:numPr>
          <w:ilvl w:val="0"/>
          <w:numId w:val="1"/>
        </w:numPr>
        <w:jc w:val="both"/>
        <w:rPr>
          <w:rFonts w:ascii="Times New Roman" w:hAnsi="Times New Roman" w:cs="Times New Roman"/>
          <w:sz w:val="28"/>
          <w:szCs w:val="28"/>
        </w:rPr>
      </w:pPr>
      <w:r>
        <w:rPr>
          <w:rFonts w:cs="Times New Roman" w:ascii="Times New Roman" w:hAnsi="Times New Roman"/>
          <w:sz w:val="28"/>
          <w:szCs w:val="28"/>
        </w:rPr>
        <w:t>экологический класс транспортного средства:</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Евро 3 и ниже - «0» баллов (за каждый автобус); </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Евро 4 - «+1» балл (за каждый автобус);</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Евро 5 и выше - «+2» балла (за каждый автобус);</w:t>
      </w:r>
    </w:p>
    <w:p>
      <w:pPr>
        <w:pStyle w:val="ListParagraph"/>
        <w:numPr>
          <w:ilvl w:val="0"/>
          <w:numId w:val="1"/>
        </w:numPr>
        <w:jc w:val="both"/>
        <w:rPr>
          <w:rFonts w:ascii="Times New Roman" w:hAnsi="Times New Roman" w:cs="Times New Roman"/>
          <w:sz w:val="28"/>
          <w:szCs w:val="28"/>
        </w:rPr>
      </w:pPr>
      <w:r>
        <w:rPr>
          <w:rFonts w:cs="Times New Roman" w:ascii="Times New Roman" w:hAnsi="Times New Roman"/>
          <w:sz w:val="28"/>
          <w:szCs w:val="28"/>
        </w:rPr>
        <w:t>вместимость транспортного средства:</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общая вместимость до 13 человек (включительно) - «0» баллов                        (за каждый автобус);</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общая вместимость от 14 до 35 человек (включительно) - «+1» балл                        (за каждый автобус);</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3) показатели безопасности и комфортности услуг перевозки пассажиров:</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наличие в транспортном средстве системы, препятствующей его                       движению при открытьях дверях и (или) люках багажного отделения - «+l» балл автобусу, имеющему такую или более технологичную систему;</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наличие в транспортном средстве низкого пола или стационарно                               установленной откидной площадки (аппарели) для въезда инвалида в салон автобуса, и специального места для инвалидной коляски с удерживающим устройством, и устройства связи с водителем - «+5» баллов за каждый автобус;</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наличие в транспортном средстве текстовой и графической информации, выполненной рельефно- точечным способом - «+5» баллов за каждый автобус;</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наличие системы кондиционирования - «+1» балл за каждый автобус,</w:t>
      </w:r>
    </w:p>
    <w:p>
      <w:pPr>
        <w:pStyle w:val="Normal"/>
        <w:jc w:val="both"/>
        <w:rPr>
          <w:rFonts w:ascii="Times New Roman" w:hAnsi="Times New Roman" w:cs="Times New Roman"/>
          <w:sz w:val="28"/>
          <w:szCs w:val="28"/>
        </w:rPr>
      </w:pPr>
      <w:r>
        <w:rPr>
          <w:rFonts w:cs="Times New Roman" w:ascii="Times New Roman" w:hAnsi="Times New Roman"/>
          <w:sz w:val="28"/>
          <w:szCs w:val="28"/>
        </w:rPr>
        <w:t>имеющий такую систему;</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наличие в транспортном средстве электронной системы оплаты проезда                           с применением учета наличных денежных средств, а также банковских                              и социальных карт - «+5» балла за каждый автобус;</w:t>
      </w:r>
    </w:p>
    <w:p>
      <w:pPr>
        <w:pStyle w:val="Normal"/>
        <w:ind w:firstLine="851"/>
        <w:jc w:val="both"/>
        <w:rPr>
          <w:rFonts w:ascii="Times New Roman" w:hAnsi="Times New Roman" w:cs="Times New Roman"/>
          <w:sz w:val="28"/>
          <w:szCs w:val="28"/>
        </w:rPr>
      </w:pPr>
      <w:r>
        <w:rPr>
          <w:rFonts w:cs="Times New Roman" w:ascii="Times New Roman" w:hAnsi="Times New Roman"/>
          <w:sz w:val="28"/>
          <w:szCs w:val="28"/>
        </w:rPr>
        <w:t>наличие в транспортном средстве автоматической системы                                                         пожаротушения - «+5» балл за каждый автобус, имеющий такую систему;</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наличие в салоне транспортного средства электронного                                        табло автоматического отображения информации - «+1» балл за каждый автобус;</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наличие в салоне транспортного средства оборудования для звукового (речевого) объявления остановок и другой информации в автоматическом                    или другом режиме - «+1» балл за каждый автобус,</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наличие оборудования для использования газомоторного топлива - «+l» балл за каждый автобус.</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Критерий № 4.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до пяти лет (включительно) - «+2» балла (за каждый автобус);</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от пяти до восьми лет (включительно) - «+1» балл (за каждый автобус); </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более восьми лет - t‹0» баллов (за каждый автобус).</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Предложения, содержащиеся в заявках участников конкурса, оцениваются и сопоставляются конкурсной комиссией путём присвоения заявкам на участие в конкурсе значений в баллах по каждому из предусмотренных критериев оценки заявок на участие в конкурсе.</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Конкурсная комиссия оценивает предложения, содержащиеся в заявке                   на участие в конкурсе и прилагаемых к ней документах, каждого участника                     конкурса по каждому конкурсному критерию. Для этого члены конкурсной комиссии присваивают каждой заявке на участие в конкурсе значение в баллах по каждому из предусмотренных критериев оценки. Значение по составному критерию (общий балл по критерию) определяется путём сложения баллов                    по каждому подкритерию (оценочному пункту), входящему в состав критерия. </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Общая оценка заявке на участие в конкурсе присваивается членом конкурсной комиссии путём сложения баллов, определённых им по каждому конкурсному критерию. В случае равной оценки по одному конкурсному подкритерию (оценочному пункту) нескольких заявок на участие в конкурсе,                      по такому подкритерию (оценочному пункту) каждой из таких заявок                              им присваивается равное значение в баллах.</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При проведении оценки конкурсных критериев каждый член конкурсной</w:t>
      </w:r>
    </w:p>
    <w:p>
      <w:pPr>
        <w:pStyle w:val="Normal"/>
        <w:jc w:val="both"/>
        <w:rPr>
          <w:rFonts w:ascii="Times New Roman" w:hAnsi="Times New Roman" w:cs="Times New Roman"/>
          <w:sz w:val="28"/>
          <w:szCs w:val="28"/>
        </w:rPr>
      </w:pPr>
      <w:r>
        <w:rPr>
          <w:rFonts w:cs="Times New Roman" w:ascii="Times New Roman" w:hAnsi="Times New Roman"/>
          <w:sz w:val="28"/>
          <w:szCs w:val="28"/>
        </w:rPr>
        <w:t>комиссии обязан действовать добросовестно и разумно, руководствуясь настоящим порядком оценки, в соответствии с фактическими данными, содержащимися в каждой сравниваемой заявке на участие в конкурсе                                    и прилагаемых к ней документах.</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Первый номер присваивается заявке на участие в конкурсе, получившей наибольшее (по сравнению с другими заявками) числовое значение по сумме баллов. Заявкам на участие в конкурсе, набравшим меньшее количество баллов, присваиваются второй и последующие порядковые номера.</w:t>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В случае если заявки двух и более участников конкурса получили равное числовое значение по сумме баллов, первый номер присваивается заявке               участника конкурса, по предложению которого установлен маршрут регулярных перевозок, а при отсутствии такого участника - заявке, ранее других представленной на конкурс.</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t>Исполняющий обязанности</w:t>
      </w:r>
    </w:p>
    <w:p>
      <w:pPr>
        <w:pStyle w:val="Normal"/>
        <w:jc w:val="both"/>
        <w:rPr>
          <w:rFonts w:ascii="Times New Roman" w:hAnsi="Times New Roman" w:cs="Times New Roman"/>
          <w:sz w:val="28"/>
          <w:szCs w:val="28"/>
        </w:rPr>
      </w:pPr>
      <w:r>
        <w:rPr>
          <w:rFonts w:cs="Times New Roman" w:ascii="Times New Roman" w:hAnsi="Times New Roman"/>
          <w:sz w:val="28"/>
          <w:szCs w:val="28"/>
        </w:rPr>
        <w:t>начальника отдела жилищно-коммунального</w:t>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хозяйства, транспорта и связи </w:t>
      </w:r>
    </w:p>
    <w:p>
      <w:pPr>
        <w:pStyle w:val="Normal"/>
        <w:jc w:val="both"/>
        <w:rPr>
          <w:rFonts w:ascii="Times New Roman" w:hAnsi="Times New Roman" w:cs="Times New Roman"/>
          <w:sz w:val="28"/>
          <w:szCs w:val="28"/>
        </w:rPr>
      </w:pPr>
      <w:r>
        <w:rPr>
          <w:rFonts w:cs="Times New Roman" w:ascii="Times New Roman" w:hAnsi="Times New Roman"/>
          <w:sz w:val="28"/>
          <w:szCs w:val="28"/>
        </w:rPr>
        <w:t>администрации муниципального</w:t>
      </w:r>
    </w:p>
    <w:p>
      <w:pPr>
        <w:pStyle w:val="Normal"/>
        <w:jc w:val="both"/>
        <w:rPr>
          <w:rFonts w:ascii="Times New Roman" w:hAnsi="Times New Roman" w:cs="Times New Roman"/>
          <w:sz w:val="28"/>
          <w:szCs w:val="28"/>
        </w:rPr>
      </w:pPr>
      <w:r>
        <w:rPr>
          <w:rFonts w:cs="Times New Roman" w:ascii="Times New Roman" w:hAnsi="Times New Roman"/>
          <w:sz w:val="28"/>
          <w:szCs w:val="28"/>
        </w:rPr>
        <w:t>образования Курганинский район                                                           С.А. Гущина</w:t>
      </w:r>
    </w:p>
    <w:p>
      <w:pPr>
        <w:pStyle w:val="Normal"/>
        <w:jc w:val="both"/>
        <w:rPr>
          <w:rFonts w:ascii="Times New Roman" w:hAnsi="Times New Roman" w:cs="Times New Roman"/>
          <w:sz w:val="28"/>
          <w:szCs w:val="28"/>
        </w:rPr>
      </w:pPr>
      <w:r>
        <w:rPr>
          <w:rFonts w:cs="Times New Roman" w:ascii="Times New Roman" w:hAnsi="Times New Roman"/>
          <w:sz w:val="28"/>
          <w:szCs w:val="28"/>
        </w:rPr>
      </w:r>
    </w:p>
    <w:sectPr>
      <w:headerReference w:type="even" r:id="rId2"/>
      <w:headerReference w:type="default" r:id="rId3"/>
      <w:headerReference w:type="first" r:id="rId4"/>
      <w:type w:val="nextPage"/>
      <w:pgSz w:w="11906" w:h="16838"/>
      <w:pgMar w:left="1701" w:right="567" w:gutter="0" w:header="709" w:top="1134" w:footer="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Unicode MS">
    <w:charset w:val="01"/>
    <w:family w:val="swiss"/>
    <w:pitch w:val="variable"/>
  </w:font>
  <w:font w:name="Times New Roman">
    <w:charset w:val="01"/>
    <w:family w:val="roman"/>
    <w:pitch w:val="variable"/>
  </w:font>
  <w:font w:name="Liberation Sans">
    <w:altName w:val="Arial"/>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805390639"/>
    </w:sdtPr>
    <w:sdtContent>
      <w:p>
        <w:pPr>
          <w:pStyle w:val="Header"/>
          <w:jc w:val="center"/>
          <w:rPr>
            <w:rFonts w:ascii="Times New Roman" w:hAnsi="Times New Roman" w:cs="Times New Roman"/>
            <w:sz w:val="28"/>
            <w:szCs w:val="28"/>
          </w:rPr>
        </w:pPr>
        <w:r>
          <w:rPr>
            <w:rFonts w:cs="Times New Roman" w:ascii="Times New Roman" w:hAnsi="Times New Roman"/>
            <w:sz w:val="28"/>
            <w:szCs w:val="28"/>
          </w:rPr>
          <w:fldChar w:fldCharType="begin"/>
        </w:r>
        <w:r>
          <w:rPr>
            <w:sz w:val="28"/>
            <w:szCs w:val="28"/>
            <w:rFonts w:cs="Times New Roman" w:ascii="Times New Roman" w:hAnsi="Times New Roman"/>
          </w:rPr>
          <w:instrText xml:space="preserve"> PAGE </w:instrText>
        </w:r>
        <w:r>
          <w:rPr>
            <w:sz w:val="28"/>
            <w:szCs w:val="28"/>
            <w:rFonts w:cs="Times New Roman" w:ascii="Times New Roman" w:hAnsi="Times New Roman"/>
          </w:rPr>
          <w:fldChar w:fldCharType="separate"/>
        </w:r>
        <w:r>
          <w:rPr>
            <w:sz w:val="28"/>
            <w:szCs w:val="28"/>
            <w:rFonts w:cs="Times New Roman" w:ascii="Times New Roman" w:hAnsi="Times New Roman"/>
          </w:rPr>
          <w:t>4</w:t>
        </w:r>
        <w:r>
          <w:rPr>
            <w:sz w:val="28"/>
            <w:szCs w:val="28"/>
            <w:rFonts w:cs="Times New Roman" w:ascii="Times New Roman" w:hAnsi="Times New Roman"/>
          </w:rPr>
          <w:fldChar w:fldCharType="end"/>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0"/>
  <w:compat>
    <w:doNotExpandShiftReturn/>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Unicode MS" w:hAnsi="Arial Unicode MS" w:eastAsia="Arial Unicode MS" w:cs="Arial Unicode MS"/>
        <w:sz w:val="24"/>
        <w:szCs w:val="24"/>
        <w:lang w:val="ru-RU" w:eastAsia="ru-RU" w:bidi="ru-RU"/>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bidi w:val="0"/>
      <w:spacing w:before="0" w:after="0"/>
      <w:jc w:val="left"/>
    </w:pPr>
    <w:rPr>
      <w:rFonts w:ascii="Arial Unicode MS" w:hAnsi="Arial Unicode MS" w:eastAsia="Arial Unicode MS" w:cs="Arial Unicode MS"/>
      <w:color w:val="000000"/>
      <w:kern w:val="0"/>
      <w:sz w:val="24"/>
      <w:szCs w:val="24"/>
      <w:lang w:val="ru-RU" w:eastAsia="ru-RU" w:bidi="ru-RU"/>
    </w:rPr>
  </w:style>
  <w:style w:type="character" w:styleId="DefaultParagraphFont" w:default="1">
    <w:name w:val="Default Paragraph Font"/>
    <w:uiPriority w:val="1"/>
    <w:semiHidden/>
    <w:unhideWhenUsed/>
    <w:qFormat/>
    <w:rPr/>
  </w:style>
  <w:style w:type="character" w:styleId="Style14" w:customStyle="1">
    <w:name w:val="Основной текст_"/>
    <w:basedOn w:val="DefaultParagraphFont"/>
    <w:link w:val="1"/>
    <w:qFormat/>
    <w:rPr>
      <w:rFonts w:ascii="Times New Roman" w:hAnsi="Times New Roman" w:eastAsia="Times New Roman" w:cs="Times New Roman"/>
      <w:b w:val="false"/>
      <w:bCs w:val="false"/>
      <w:i w:val="false"/>
      <w:iCs w:val="false"/>
      <w:caps w:val="false"/>
      <w:smallCaps w:val="false"/>
      <w:strike w:val="false"/>
      <w:dstrike w:val="false"/>
      <w:u w:val="none"/>
    </w:rPr>
  </w:style>
  <w:style w:type="character" w:styleId="Style15" w:customStyle="1">
    <w:name w:val="Верхний колонтитул Знак"/>
    <w:basedOn w:val="DefaultParagraphFont"/>
    <w:uiPriority w:val="99"/>
    <w:qFormat/>
    <w:rsid w:val="001717e9"/>
    <w:rPr>
      <w:color w:val="000000"/>
    </w:rPr>
  </w:style>
  <w:style w:type="character" w:styleId="Style16" w:customStyle="1">
    <w:name w:val="Нижний колонтитул Знак"/>
    <w:basedOn w:val="DefaultParagraphFont"/>
    <w:uiPriority w:val="99"/>
    <w:qFormat/>
    <w:rsid w:val="001717e9"/>
    <w:rPr>
      <w:color w:val="000000"/>
    </w:rPr>
  </w:style>
  <w:style w:type="paragraph" w:styleId="Style17">
    <w:name w:val="Заголовок"/>
    <w:basedOn w:val="Normal"/>
    <w:next w:val="BodyText"/>
    <w:qFormat/>
    <w:pPr>
      <w:keepNext w:val="true"/>
      <w:spacing w:before="240" w:after="120"/>
    </w:pPr>
    <w:rPr>
      <w:rFonts w:ascii="Liberation Sans" w:hAnsi="Liberation Sans" w:eastAsia="Tahoma" w:cs="Droid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Droid Sans"/>
    </w:rPr>
  </w:style>
  <w:style w:type="paragraph" w:styleId="Caption">
    <w:name w:val="caption"/>
    <w:basedOn w:val="Normal"/>
    <w:qFormat/>
    <w:pPr>
      <w:suppressLineNumbers/>
      <w:spacing w:before="120" w:after="120"/>
    </w:pPr>
    <w:rPr>
      <w:rFonts w:cs="Droid Sans"/>
      <w:i/>
      <w:iCs/>
      <w:sz w:val="24"/>
      <w:szCs w:val="24"/>
    </w:rPr>
  </w:style>
  <w:style w:type="paragraph" w:styleId="Style18">
    <w:name w:val="Указатель"/>
    <w:basedOn w:val="Normal"/>
    <w:qFormat/>
    <w:pPr>
      <w:suppressLineNumbers/>
    </w:pPr>
    <w:rPr>
      <w:rFonts w:cs="Droid Sans"/>
    </w:rPr>
  </w:style>
  <w:style w:type="paragraph" w:styleId="1" w:customStyle="1">
    <w:name w:val="Основной текст1"/>
    <w:basedOn w:val="Normal"/>
    <w:link w:val="Style14"/>
    <w:qFormat/>
    <w:pPr>
      <w:shd w:val="clear" w:color="auto" w:fill="FFFFFF"/>
      <w:ind w:firstLine="400"/>
    </w:pPr>
    <w:rPr>
      <w:rFonts w:ascii="Times New Roman" w:hAnsi="Times New Roman" w:eastAsia="Times New Roman" w:cs="Times New Roman"/>
    </w:rPr>
  </w:style>
  <w:style w:type="paragraph" w:styleId="ListParagraph">
    <w:name w:val="List Paragraph"/>
    <w:basedOn w:val="Normal"/>
    <w:uiPriority w:val="34"/>
    <w:qFormat/>
    <w:rsid w:val="00f452b5"/>
    <w:pPr>
      <w:spacing w:before="0" w:after="0"/>
      <w:ind w:left="720"/>
      <w:contextualSpacing/>
    </w:pPr>
    <w:rPr/>
  </w:style>
  <w:style w:type="paragraph" w:styleId="Style19">
    <w:name w:val="Колонтитулы"/>
    <w:basedOn w:val="Normal"/>
    <w:qFormat/>
    <w:pPr/>
    <w:rPr/>
  </w:style>
  <w:style w:type="paragraph" w:styleId="Header">
    <w:name w:val="header"/>
    <w:basedOn w:val="Normal"/>
    <w:link w:val="Style15"/>
    <w:uiPriority w:val="99"/>
    <w:unhideWhenUsed/>
    <w:rsid w:val="001717e9"/>
    <w:pPr>
      <w:tabs>
        <w:tab w:val="clear" w:pos="708"/>
        <w:tab w:val="center" w:pos="4677" w:leader="none"/>
        <w:tab w:val="right" w:pos="9355" w:leader="none"/>
      </w:tabs>
    </w:pPr>
    <w:rPr/>
  </w:style>
  <w:style w:type="paragraph" w:styleId="Footer">
    <w:name w:val="footer"/>
    <w:basedOn w:val="Normal"/>
    <w:link w:val="Style16"/>
    <w:uiPriority w:val="99"/>
    <w:unhideWhenUsed/>
    <w:rsid w:val="001717e9"/>
    <w:pPr>
      <w:tabs>
        <w:tab w:val="clear" w:pos="708"/>
        <w:tab w:val="center" w:pos="4677" w:leader="none"/>
        <w:tab w:val="right" w:pos="9355" w:leader="none"/>
      </w:tabs>
    </w:pPr>
    <w:rPr/>
  </w:style>
  <w:style w:type="numbering" w:styleId="Style20"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99</TotalTime>
  <Application>LibreOffice/24.8.7.2$Linux_X86_64 LibreOffice_project/480$Build-2</Application>
  <AppVersion>15.0000</AppVersion>
  <Pages>4</Pages>
  <Words>1017</Words>
  <Characters>7188</Characters>
  <CharactersWithSpaces>8998</CharactersWithSpaces>
  <Paragraphs>55</Paragraphs>
  <Company>diakov.net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2024-03-06T13:05:00Z</dcterms:created>
  <dc:creator>NAPS2</dc:creator>
  <dc:description/>
  <dc:language>ru-RU</dc:language>
  <cp:lastModifiedBy>obshy otdel</cp:lastModifiedBy>
  <dcterms:modified xsi:type="dcterms:W3CDTF">2026-06-16T11:42:00Z</dcterms:modified>
  <cp:revision>14</cp:revision>
  <dc:subject>Отсканированное изображение</dc:subject>
  <dc:title>Отсканированное изображение</dc:title>
</cp:coreProperties>
</file>

<file path=docProps/custom.xml><?xml version="1.0" encoding="utf-8"?>
<Properties xmlns="http://schemas.openxmlformats.org/officeDocument/2006/custom-properties" xmlns:vt="http://schemas.openxmlformats.org/officeDocument/2006/docPropsVTypes"/>
</file>